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48.999999999998" w:type="dxa"/>
        <w:jc w:val="left"/>
        <w:tblInd w:w="-82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  <w:tblGridChange w:id="0">
          <w:tblGrid>
            <w:gridCol w:w="199"/>
            <w:gridCol w:w="1788"/>
            <w:gridCol w:w="1579"/>
            <w:gridCol w:w="659"/>
            <w:gridCol w:w="803"/>
            <w:gridCol w:w="1651"/>
            <w:gridCol w:w="2987"/>
            <w:gridCol w:w="163"/>
            <w:gridCol w:w="1907"/>
            <w:gridCol w:w="4140"/>
            <w:gridCol w:w="73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9">
            <w:pPr>
              <w:bidi w:val="1"/>
              <w:ind w:left="0" w:right="0" w:firstLine="0"/>
              <w:jc w:val="center"/>
              <w:rPr>
                <w:b w:val="0"/>
                <w:color w:val="c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الصفحات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: 7 – 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bidi w:val="1"/>
              <w:ind w:left="0" w:right="0" w:firstLine="0"/>
              <w:jc w:val="center"/>
              <w:rPr>
                <w:b w:val="0"/>
                <w:color w:val="c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الزمنية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(6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bidi w:val="1"/>
              <w:ind w:left="0" w:right="0" w:firstLine="0"/>
              <w:jc w:val="center"/>
              <w:rPr>
                <w:b w:val="0"/>
                <w:color w:val="c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" w:hRule="atLeast"/>
          <w:tblHeader w:val="0"/>
        </w:trPr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التأمل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مرافقة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ind w:left="-116" w:right="-11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النتاجات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2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الأدوات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4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الاستراتيجيات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أشعر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بالرضا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مقترحات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التحسين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بحوث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مختبر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لوحات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مجسمة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الرصد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سلم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شفوية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المعتمد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الملاحظة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1290"/>
              </w:tabs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العصف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الذهن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وأجوبة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المدرسي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رسومات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ولوحات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توضيحية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مجسمة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محتويات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مختبر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الانترنت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A">
            <w:pPr>
              <w:bidi w:val="1"/>
              <w:ind w:left="360" w:right="0" w:firstLine="0"/>
              <w:jc w:val="left"/>
              <w:rPr>
                <w:b w:val="0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يتوقع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ind w:left="360" w:right="0" w:firstLine="0"/>
              <w:jc w:val="left"/>
              <w:rPr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يستخدم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العلم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يوظف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المنهجية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المشكلات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يرسم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العلاقة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المتغيرات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بياني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يحترم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الرأي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الآخر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ويرفض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التحيز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يلتزم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بالمصداقية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والدقة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رصد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البيانات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ووصف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يلاحظه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يستنتج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الحياتية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حياة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ومستقبله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يقدر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علماء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الحياتية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تطور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المعرفة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يسهم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تحسين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نوعية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الحياة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الكائنات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جميعها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تشترك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الخصائص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للحياة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تنوع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أشكال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سطح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الأرض</w:t>
            </w:r>
          </w:p>
        </w:tc>
      </w:tr>
    </w:tbl>
    <w:p w:rsidR="00000000" w:rsidDel="00000000" w:rsidP="00000000" w:rsidRDefault="00000000" w:rsidRPr="00000000" w14:paraId="00000086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ind w:left="0" w:right="0" w:firstLine="0"/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ind w:left="0" w:right="0" w:firstLine="0"/>
        <w:jc w:val="left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48.999999999998" w:type="dxa"/>
        <w:jc w:val="left"/>
        <w:tblInd w:w="-82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  <w:tblGridChange w:id="0">
          <w:tblGrid>
            <w:gridCol w:w="199"/>
            <w:gridCol w:w="1788"/>
            <w:gridCol w:w="1579"/>
            <w:gridCol w:w="659"/>
            <w:gridCol w:w="803"/>
            <w:gridCol w:w="1651"/>
            <w:gridCol w:w="2987"/>
            <w:gridCol w:w="163"/>
            <w:gridCol w:w="1907"/>
            <w:gridCol w:w="4140"/>
            <w:gridCol w:w="73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A">
            <w:pPr>
              <w:bidi w:val="1"/>
              <w:ind w:left="0" w:right="0" w:firstLine="0"/>
              <w:jc w:val="center"/>
              <w:rPr>
                <w:b w:val="0"/>
                <w:color w:val="c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الصفحات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: 39 – 80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E">
            <w:pPr>
              <w:bidi w:val="1"/>
              <w:ind w:left="0" w:right="0" w:firstLine="0"/>
              <w:jc w:val="center"/>
              <w:rPr>
                <w:b w:val="0"/>
                <w:color w:val="c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الزمنية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(10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2">
            <w:pPr>
              <w:bidi w:val="1"/>
              <w:ind w:left="0" w:right="0" w:firstLine="0"/>
              <w:jc w:val="center"/>
              <w:rPr>
                <w:b w:val="0"/>
                <w:color w:val="c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الخلية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وعملياتها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الحيوية</w:t>
            </w:r>
            <w:r w:rsidDel="00000000" w:rsidR="00000000" w:rsidRPr="00000000">
              <w:rPr>
                <w:b w:val="1"/>
                <w:color w:val="c00000"/>
                <w:sz w:val="28"/>
                <w:szCs w:val="28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" w:hRule="atLeast"/>
          <w:tblHeader w:val="0"/>
        </w:trPr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التأمل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مرافقة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ind w:left="-116" w:right="-11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النتاجات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B3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الأدوات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B5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الاستراتيجيات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B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أشعر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بالرضا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مقترحات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التحسين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بحوث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مختبر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لوحات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مجسمة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الرصد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سلم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شفوية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المعتمد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الملاحظة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1290"/>
              </w:tabs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العصف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الذهن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وأجوبة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المدرسي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رسومات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ولوحات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توضيحية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مجسمة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محتويات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مختبر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الانترنت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bidi w:val="1"/>
              <w:ind w:left="0" w:right="0" w:firstLine="0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B">
            <w:pPr>
              <w:bidi w:val="1"/>
              <w:ind w:left="360" w:right="0" w:firstLine="0"/>
              <w:jc w:val="left"/>
              <w:rPr>
                <w:b w:val="0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يتوقع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bidi w:val="1"/>
              <w:ind w:left="360" w:right="0" w:firstLine="0"/>
              <w:jc w:val="left"/>
              <w:rPr>
                <w:color w:val="00000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بنود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نظرية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الخلية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يستقصي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تركيب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الخلية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ووظائف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مكوناتها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يقارن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الخلية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النباتية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والخلية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الحيوانية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الحيوية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الخلية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يرسم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خلية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حقيقية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النواة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موضح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مكوناتها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المقصود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بالأيض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ويذكر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أنواعه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يبين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الخطوات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لعمليتي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التنفس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الخلوي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والبناء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الضوئي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يقارن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عمليتي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التنفس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الخلوي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والبناء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الضوئي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يظهر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اهتمام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بدور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النباتات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المهم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استمرار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الخلية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ويذكر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مراحلها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العوامل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تؤثر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حجم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الخلية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الانقسام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المتساوي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1"/>
              </w:rPr>
              <w:t xml:space="preserve">المختلفة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يصف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التغيرات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للخلية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الانقسام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المتساوي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المختلفة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الخلية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المنضبطة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تكوين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الأورام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bidi w:val="1"/>
              <w:ind w:left="1080" w:right="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يصنف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الخلايا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الجذعية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أنواعها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المختلفة</w:t>
            </w:r>
          </w:p>
        </w:tc>
      </w:tr>
    </w:tbl>
    <w:p w:rsidR="00000000" w:rsidDel="00000000" w:rsidP="00000000" w:rsidRDefault="00000000" w:rsidRPr="00000000" w14:paraId="0000011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0" w:top="0" w:left="1134" w:right="1134" w:header="720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ndalus"/>
  <w:font w:name="Traditional Arabic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bidi w:val="1"/>
      <w:ind w:left="0" w:right="0" w:firstLine="0"/>
      <w:jc w:val="left"/>
      <w:rPr>
        <w:b w:val="0"/>
        <w:sz w:val="36"/>
        <w:szCs w:val="36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a.rev 71-1-47QF  # Form  </w:t>
    </w:r>
    <w:r w:rsidDel="00000000" w:rsidR="00000000" w:rsidRPr="00000000">
      <w:rPr>
        <w:rtl w:val="0"/>
      </w:rPr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            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مدير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المدرسة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/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الاسم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والتوقيع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 :              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التاريخ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:          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المشرف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التربوي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 :/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الاسم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والتوقيع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:          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التاريخ</w:t>
    </w:r>
    <w:r w:rsidDel="00000000" w:rsidR="00000000" w:rsidRPr="00000000">
      <w:rPr>
        <w:b w:val="1"/>
        <w:sz w:val="28"/>
        <w:szCs w:val="28"/>
        <w:vertAlign w:val="baseline"/>
        <w:rtl w:val="1"/>
      </w:rPr>
      <w:t xml:space="preserve">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-630554</wp:posOffset>
              </wp:positionH>
              <wp:positionV relativeFrom="paragraph">
                <wp:posOffset>3208655</wp:posOffset>
              </wp:positionV>
              <wp:extent cx="2548890" cy="337185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8890" cy="337185"/>
                      </a:xfrm>
                      <a:prstGeom prst="roundRect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E208F2" w:rsidRDefault="00000000" w:rsidRPr="00000000">
                          <w:pPr>
                            <w:pStyle w:val="Normal"/>
                            <w:tabs>
                              <w:tab w:val="left" w:leader="none" w:pos="11742"/>
                            </w:tabs>
                            <w:suppressAutoHyphens w:val="1"/>
                            <w:spacing w:line="1" w:lineRule="atLeast"/>
                            <w:ind w:leftChars="-1" w:rightChars="0" w:firstLineChars="-1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Traditional Arabic" w:cs="Traditional Arabic" w:hAnsi="Traditional Arabic"/>
                              <w:w w:val="100"/>
                              <w:position w:val="-1"/>
                              <w:sz w:val="28"/>
                              <w:szCs w:val="28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4813426" w:rsidRPr="000000-1">
                            <w:rPr>
                              <w:rFonts w:ascii="Traditional Arabic" w:cs="Traditional Arabic" w:hAnsi="Traditional Arabic"/>
                              <w:w w:val="100"/>
                              <w:position w:val="-1"/>
                              <w:sz w:val="28"/>
                              <w:szCs w:val="28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>QF 04-11</w:t>
                          </w:r>
                          <w:r w:rsidDel="000000-1" w:rsidR="14813426" w:rsidRPr="08140324">
                            <w:rPr>
                              <w:rFonts w:ascii="Traditional Arabic" w:cs="Traditional Arabic" w:hAnsi="Traditional Arabic"/>
                              <w:w w:val="100"/>
                              <w:position w:val="-1"/>
                              <w:sz w:val="28"/>
                              <w:szCs w:val="28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> rev.a</w:t>
                          </w:r>
                          <w:r w:rsidDel="000000-1" w:rsidR="14813426" w:rsidRPr="08140324">
                            <w:rPr>
                              <w:rFonts w:ascii="Traditional Arabic" w:cs="Traditional Arabic" w:hAnsi="Traditional Arabic"/>
                              <w:w w:val="100"/>
                              <w:position w:val="-1"/>
                              <w:sz w:val="28"/>
                              <w:szCs w:val="28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4813426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-630554</wp:posOffset>
              </wp:positionH>
              <wp:positionV relativeFrom="paragraph">
                <wp:posOffset>3208655</wp:posOffset>
              </wp:positionV>
              <wp:extent cx="2548890" cy="3371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8890" cy="337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pPr w:leftFromText="180" w:rightFromText="180" w:topFromText="0" w:bottomFromText="0" w:vertAnchor="page" w:horzAnchor="margin" w:tblpXSpec="center" w:tblpY="621"/>
      <w:bidiVisual w:val="1"/>
      <w:tblW w:w="15585.000000000002" w:type="dxa"/>
      <w:jc w:val="right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000000" w:space="0" w:sz="18" w:val="single"/>
        <w:insideV w:color="000000" w:space="0" w:sz="18" w:val="single"/>
      </w:tblBorders>
      <w:tblLayout w:type="fixed"/>
      <w:tblLook w:val="0000"/>
    </w:tblPr>
    <w:tblGrid>
      <w:gridCol w:w="5156"/>
      <w:gridCol w:w="5222"/>
      <w:gridCol w:w="5207"/>
      <w:tblGridChange w:id="0">
        <w:tblGrid>
          <w:gridCol w:w="5156"/>
          <w:gridCol w:w="5222"/>
          <w:gridCol w:w="5207"/>
        </w:tblGrid>
      </w:tblGridChange>
    </w:tblGrid>
    <w:tr>
      <w:trPr>
        <w:cantSplit w:val="0"/>
        <w:trHeight w:val="1098" w:hRule="atLeast"/>
        <w:tblHeader w:val="0"/>
      </w:trPr>
      <w:tc>
        <w:tcPr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vAlign w:val="center"/>
        </w:tcPr>
        <w:p w:rsidR="00000000" w:rsidDel="00000000" w:rsidP="00000000" w:rsidRDefault="00000000" w:rsidRPr="00000000" w14:paraId="000001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ndalus" w:cs="Andalus" w:eastAsia="Andalus" w:hAnsi="Andalu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bookmarkStart w:colFirst="0" w:colLast="0" w:name="_gjdgxs" w:id="0"/>
          <w:bookmarkEnd w:id="0"/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وزارة</w:t>
          </w:r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التربية</w:t>
          </w:r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والتعليم</w:t>
          </w:r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/</w:t>
          </w:r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لواء</w:t>
          </w:r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ndalus" w:cs="Andalus" w:eastAsia="Andalus" w:hAnsi="Andalu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ماركا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vAlign w:val="center"/>
        </w:tcPr>
        <w:p w:rsidR="00000000" w:rsidDel="00000000" w:rsidP="00000000" w:rsidRDefault="00000000" w:rsidRPr="00000000" w14:paraId="000001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vAlign w:val="center"/>
        </w:tcPr>
        <w:p w:rsidR="00000000" w:rsidDel="00000000" w:rsidP="00000000" w:rsidRDefault="00000000" w:rsidRPr="00000000" w14:paraId="000001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العام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الدراسي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2024-2025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97" w:hRule="atLeast"/>
        <w:tblHeader w:val="0"/>
      </w:trPr>
      <w:tc>
        <w:tcPr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1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معلم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الماد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ة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1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raditional Arabic" w:cs="Traditional Arabic" w:eastAsia="Traditional Arabic" w:hAnsi="Traditional Arabic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c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الخطة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c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c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الفصلية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c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  / 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c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لمادة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العلوم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الحياتية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)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1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68" w:hRule="atLeast"/>
        <w:tblHeader w:val="0"/>
      </w:trPr>
      <w:tc>
        <w:tcPr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1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c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الصف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c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: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c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التاسع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1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8" w:val="single"/>
            <w:left w:color="000000" w:space="0" w:sz="18" w:val="single"/>
            <w:bottom w:color="000000" w:space="0" w:sz="18" w:val="single"/>
            <w:right w:color="000000" w:space="0" w:sz="1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1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الفصل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الدراسي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- 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الأول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ind w:left="0" w:right="0"/>
      <w:jc w:val="left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